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905" w:type="dxa"/>
        <w:tblCellSpacing w:w="0" w:type="dxa"/>
        <w:shd w:val="clear" w:color="auto" w:fill="F0F0F0"/>
        <w:tblCellMar>
          <w:left w:w="0" w:type="dxa"/>
          <w:right w:w="0" w:type="dxa"/>
        </w:tblCellMar>
        <w:tblLook w:val="04A0" w:firstRow="1" w:lastRow="0" w:firstColumn="1" w:lastColumn="0" w:noHBand="0" w:noVBand="1"/>
      </w:tblPr>
      <w:tblGrid>
        <w:gridCol w:w="1321"/>
        <w:gridCol w:w="1360"/>
        <w:gridCol w:w="1585"/>
        <w:gridCol w:w="3639"/>
      </w:tblGrid>
      <w:tr w:rsidR="00B84BC6" w:rsidRPr="00B84BC6" w:rsidTr="006B3935">
        <w:trPr>
          <w:trHeight w:val="798"/>
          <w:tblCellSpacing w:w="0" w:type="dxa"/>
        </w:trPr>
        <w:tc>
          <w:tcPr>
            <w:tcW w:w="7905" w:type="dxa"/>
            <w:gridSpan w:val="4"/>
            <w:shd w:val="clear" w:color="auto" w:fill="auto"/>
            <w:tcMar>
              <w:top w:w="0" w:type="dxa"/>
              <w:left w:w="108" w:type="dxa"/>
              <w:bottom w:w="0" w:type="dxa"/>
              <w:right w:w="108" w:type="dxa"/>
            </w:tcMar>
            <w:hideMark/>
          </w:tcPr>
          <w:p w:rsidR="00B84BC6" w:rsidRPr="00B84BC6" w:rsidRDefault="00B80F91" w:rsidP="006B393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 xml:space="preserve">TỈ LỆ PHẦN TRĂM (%) ĐÓNG BHXH </w:t>
            </w:r>
            <w:r w:rsidRPr="00B84BC6">
              <w:rPr>
                <w:rFonts w:ascii="Times New Roman" w:eastAsia="Times New Roman" w:hAnsi="Times New Roman" w:cs="Times New Roman"/>
                <w:b/>
                <w:bCs/>
                <w:sz w:val="26"/>
                <w:szCs w:val="26"/>
              </w:rPr>
              <w:t>-</w:t>
            </w:r>
            <w:r>
              <w:rPr>
                <w:rFonts w:ascii="Times New Roman" w:eastAsia="Times New Roman" w:hAnsi="Times New Roman" w:cs="Times New Roman"/>
                <w:b/>
                <w:bCs/>
                <w:sz w:val="26"/>
                <w:szCs w:val="26"/>
              </w:rPr>
              <w:t xml:space="preserve"> </w:t>
            </w:r>
            <w:r w:rsidR="00B84BC6" w:rsidRPr="00B84BC6">
              <w:rPr>
                <w:rFonts w:ascii="Times New Roman" w:eastAsia="Times New Roman" w:hAnsi="Times New Roman" w:cs="Times New Roman"/>
                <w:b/>
                <w:bCs/>
                <w:sz w:val="26"/>
                <w:szCs w:val="26"/>
              </w:rPr>
              <w:t xml:space="preserve">BHYT </w:t>
            </w:r>
            <w:r w:rsidRPr="00B84BC6">
              <w:rPr>
                <w:rFonts w:ascii="Times New Roman" w:eastAsia="Times New Roman" w:hAnsi="Times New Roman" w:cs="Times New Roman"/>
                <w:b/>
                <w:bCs/>
                <w:sz w:val="26"/>
                <w:szCs w:val="26"/>
              </w:rPr>
              <w:t>-</w:t>
            </w:r>
            <w:r w:rsidR="00B84BC6" w:rsidRPr="00B84BC6">
              <w:rPr>
                <w:rFonts w:ascii="Times New Roman" w:eastAsia="Times New Roman" w:hAnsi="Times New Roman" w:cs="Times New Roman"/>
                <w:b/>
                <w:bCs/>
                <w:sz w:val="26"/>
                <w:szCs w:val="26"/>
              </w:rPr>
              <w:t xml:space="preserve"> BHTN</w:t>
            </w:r>
            <w:r>
              <w:rPr>
                <w:rFonts w:ascii="Times New Roman" w:eastAsia="Times New Roman" w:hAnsi="Times New Roman" w:cs="Times New Roman"/>
                <w:b/>
                <w:bCs/>
                <w:sz w:val="26"/>
                <w:szCs w:val="26"/>
              </w:rPr>
              <w:t xml:space="preserve"> - KPCĐ</w:t>
            </w:r>
          </w:p>
        </w:tc>
      </w:tr>
      <w:tr w:rsidR="00B84BC6" w:rsidRPr="00B84BC6" w:rsidTr="006B3935">
        <w:trPr>
          <w:trHeight w:val="763"/>
          <w:tblCellSpacing w:w="0" w:type="dxa"/>
        </w:trPr>
        <w:tc>
          <w:tcPr>
            <w:tcW w:w="1321" w:type="dxa"/>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Bảo hiểm xã hội</w:t>
            </w:r>
          </w:p>
        </w:tc>
        <w:tc>
          <w:tcPr>
            <w:tcW w:w="1360" w:type="dxa"/>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Bảo hiểm y tế</w:t>
            </w:r>
          </w:p>
        </w:tc>
        <w:tc>
          <w:tcPr>
            <w:tcW w:w="1585" w:type="dxa"/>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shd w:val="clear" w:color="auto" w:fill="FFFFFF"/>
              </w:rPr>
              <w:t>Bảo hiểm thất nghiệp</w:t>
            </w:r>
          </w:p>
        </w:tc>
        <w:tc>
          <w:tcPr>
            <w:tcW w:w="3639" w:type="dxa"/>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Kinh phí công đoàn</w:t>
            </w:r>
          </w:p>
        </w:tc>
      </w:tr>
    </w:tbl>
    <w:p w:rsidR="00B84BC6" w:rsidRPr="00B84BC6" w:rsidRDefault="00B84BC6" w:rsidP="006B3935">
      <w:pPr>
        <w:spacing w:after="0" w:line="270" w:lineRule="atLeas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r w:rsidRPr="00B84BC6">
        <w:rPr>
          <w:rFonts w:ascii="Times New Roman" w:eastAsia="Times New Roman" w:hAnsi="Times New Roman" w:cs="Times New Roman"/>
          <w:b/>
          <w:bCs/>
          <w:sz w:val="26"/>
          <w:szCs w:val="26"/>
        </w:rPr>
        <w:t>1)      Trước ngày 01/01/2009</w:t>
      </w:r>
    </w:p>
    <w:tbl>
      <w:tblPr>
        <w:tblW w:w="0" w:type="auto"/>
        <w:shd w:val="clear" w:color="auto" w:fill="F0F0F0"/>
        <w:tblCellMar>
          <w:left w:w="0" w:type="dxa"/>
          <w:right w:w="0" w:type="dxa"/>
        </w:tblCellMar>
        <w:tblLook w:val="04A0" w:firstRow="1" w:lastRow="0" w:firstColumn="1" w:lastColumn="0" w:noHBand="0" w:noVBand="1"/>
      </w:tblPr>
      <w:tblGrid>
        <w:gridCol w:w="910"/>
        <w:gridCol w:w="992"/>
        <w:gridCol w:w="1915"/>
        <w:gridCol w:w="1915"/>
        <w:gridCol w:w="812"/>
      </w:tblGrid>
      <w:tr w:rsidR="00B84BC6" w:rsidRPr="00B84BC6" w:rsidTr="006B3935">
        <w:tc>
          <w:tcPr>
            <w:tcW w:w="81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Tài khoản</w:t>
            </w:r>
          </w:p>
        </w:tc>
        <w:tc>
          <w:tcPr>
            <w:tcW w:w="99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Mục</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sử dụng lao động</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lao động</w:t>
            </w:r>
          </w:p>
        </w:tc>
        <w:tc>
          <w:tcPr>
            <w:tcW w:w="81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3382</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KPCĐ</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3383</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BHXH</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15%</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5%</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20%</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3384</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BHYT</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3389</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BHTN</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1809"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16%</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7%</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23%</w:t>
            </w:r>
          </w:p>
        </w:tc>
      </w:tr>
    </w:tbl>
    <w:p w:rsidR="00B84BC6" w:rsidRPr="00B84BC6" w:rsidRDefault="00B84BC6" w:rsidP="006B3935">
      <w:pPr>
        <w:spacing w:after="0" w:line="270" w:lineRule="atLeas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p w:rsidR="00B84BC6" w:rsidRPr="00B84BC6" w:rsidRDefault="00B84BC6" w:rsidP="006B3935">
      <w:pPr>
        <w:spacing w:after="0" w:line="270" w:lineRule="atLeast"/>
        <w:ind w:left="720" w:hanging="360"/>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      Từ 01/01/2009 đến 31/12/2009</w:t>
      </w:r>
    </w:p>
    <w:tbl>
      <w:tblPr>
        <w:tblW w:w="0" w:type="auto"/>
        <w:shd w:val="clear" w:color="auto" w:fill="F0F0F0"/>
        <w:tblCellMar>
          <w:left w:w="0" w:type="dxa"/>
          <w:right w:w="0" w:type="dxa"/>
        </w:tblCellMar>
        <w:tblLook w:val="04A0" w:firstRow="1" w:lastRow="0" w:firstColumn="1" w:lastColumn="0" w:noHBand="0" w:noVBand="1"/>
      </w:tblPr>
      <w:tblGrid>
        <w:gridCol w:w="910"/>
        <w:gridCol w:w="992"/>
        <w:gridCol w:w="1915"/>
        <w:gridCol w:w="1915"/>
        <w:gridCol w:w="812"/>
      </w:tblGrid>
      <w:tr w:rsidR="00B84BC6" w:rsidRPr="00B84BC6" w:rsidTr="006B3935">
        <w:tc>
          <w:tcPr>
            <w:tcW w:w="81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Tài khoản</w:t>
            </w:r>
          </w:p>
        </w:tc>
        <w:tc>
          <w:tcPr>
            <w:tcW w:w="99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Mục</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sử dụng lao động</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lao động</w:t>
            </w:r>
          </w:p>
        </w:tc>
        <w:tc>
          <w:tcPr>
            <w:tcW w:w="81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3382</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KPCĐ</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3383</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BHXH</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15%</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5%</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20%</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3384</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BHYT</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3389</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BHTN</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w:t>
            </w:r>
          </w:p>
        </w:tc>
      </w:tr>
      <w:tr w:rsidR="00B84BC6" w:rsidRPr="00B84BC6" w:rsidTr="006B3935">
        <w:tc>
          <w:tcPr>
            <w:tcW w:w="1809"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17%</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8%</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25%</w:t>
            </w:r>
          </w:p>
        </w:tc>
      </w:tr>
    </w:tbl>
    <w:p w:rsidR="00B84BC6" w:rsidRPr="00B84BC6" w:rsidRDefault="00B84BC6" w:rsidP="006B3935">
      <w:pPr>
        <w:spacing w:after="0" w:line="270" w:lineRule="atLeas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p w:rsidR="00B84BC6" w:rsidRPr="00B84BC6" w:rsidRDefault="00B84BC6" w:rsidP="006B3935">
      <w:pPr>
        <w:spacing w:after="0" w:line="270" w:lineRule="atLeast"/>
        <w:ind w:left="720" w:hanging="360"/>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3)      Từ 01/01/2010 đến 31/12/2011</w:t>
      </w:r>
    </w:p>
    <w:tbl>
      <w:tblPr>
        <w:tblW w:w="0" w:type="auto"/>
        <w:shd w:val="clear" w:color="auto" w:fill="F0F0F0"/>
        <w:tblCellMar>
          <w:left w:w="0" w:type="dxa"/>
          <w:right w:w="0" w:type="dxa"/>
        </w:tblCellMar>
        <w:tblLook w:val="04A0" w:firstRow="1" w:lastRow="0" w:firstColumn="1" w:lastColumn="0" w:noHBand="0" w:noVBand="1"/>
      </w:tblPr>
      <w:tblGrid>
        <w:gridCol w:w="910"/>
        <w:gridCol w:w="992"/>
        <w:gridCol w:w="1915"/>
        <w:gridCol w:w="1915"/>
        <w:gridCol w:w="931"/>
      </w:tblGrid>
      <w:tr w:rsidR="00B84BC6" w:rsidRPr="00B84BC6" w:rsidTr="006B3935">
        <w:tc>
          <w:tcPr>
            <w:tcW w:w="81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Tài khoản</w:t>
            </w:r>
          </w:p>
        </w:tc>
        <w:tc>
          <w:tcPr>
            <w:tcW w:w="99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Mục</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sử dụng lao động</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lao động</w:t>
            </w:r>
          </w:p>
        </w:tc>
        <w:tc>
          <w:tcPr>
            <w:tcW w:w="81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3382</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KPCĐ</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3383</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BHXH</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16%</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6 %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22 %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3384</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BHYT</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1,5 %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4,5 %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3389</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BHTN</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2 %</w:t>
            </w:r>
          </w:p>
        </w:tc>
      </w:tr>
      <w:tr w:rsidR="00B84BC6" w:rsidRPr="00B84BC6" w:rsidTr="006B3935">
        <w:tc>
          <w:tcPr>
            <w:tcW w:w="1809"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20%</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8,5 %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28,5%</w:t>
            </w:r>
          </w:p>
        </w:tc>
      </w:tr>
    </w:tbl>
    <w:p w:rsidR="00B84BC6" w:rsidRPr="00B84BC6" w:rsidRDefault="00B84BC6" w:rsidP="006B3935">
      <w:pPr>
        <w:spacing w:after="0" w:line="270" w:lineRule="atLeast"/>
        <w:ind w:left="720" w:hanging="360"/>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p w:rsidR="00B84BC6" w:rsidRPr="00B84BC6" w:rsidRDefault="00B84BC6" w:rsidP="006B3935">
      <w:pPr>
        <w:spacing w:after="0" w:line="270" w:lineRule="atLeast"/>
        <w:ind w:left="720" w:hanging="360"/>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4)      Từ 01/01/2012 đến 31/12/2013</w:t>
      </w:r>
    </w:p>
    <w:tbl>
      <w:tblPr>
        <w:tblW w:w="0" w:type="auto"/>
        <w:shd w:val="clear" w:color="auto" w:fill="F0F0F0"/>
        <w:tblCellMar>
          <w:left w:w="0" w:type="dxa"/>
          <w:right w:w="0" w:type="dxa"/>
        </w:tblCellMar>
        <w:tblLook w:val="04A0" w:firstRow="1" w:lastRow="0" w:firstColumn="1" w:lastColumn="0" w:noHBand="0" w:noVBand="1"/>
      </w:tblPr>
      <w:tblGrid>
        <w:gridCol w:w="910"/>
        <w:gridCol w:w="992"/>
        <w:gridCol w:w="1915"/>
        <w:gridCol w:w="1915"/>
        <w:gridCol w:w="931"/>
      </w:tblGrid>
      <w:tr w:rsidR="00B84BC6" w:rsidRPr="00B84BC6" w:rsidTr="006B3935">
        <w:tc>
          <w:tcPr>
            <w:tcW w:w="81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Tài khoản</w:t>
            </w:r>
          </w:p>
        </w:tc>
        <w:tc>
          <w:tcPr>
            <w:tcW w:w="99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Mục</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sử dụng lao động</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lao động</w:t>
            </w:r>
          </w:p>
        </w:tc>
        <w:tc>
          <w:tcPr>
            <w:tcW w:w="81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3382</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KPCĐ</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3383</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BHXH</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17 %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7 %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24 %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3384</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BHYT</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1,5 %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4,5 %</w:t>
            </w:r>
          </w:p>
        </w:tc>
      </w:tr>
      <w:tr w:rsidR="00B84BC6" w:rsidRPr="00B84BC6" w:rsidTr="006B3935">
        <w:tc>
          <w:tcPr>
            <w:tcW w:w="817"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3389</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BHTN</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2 %</w:t>
            </w:r>
          </w:p>
        </w:tc>
      </w:tr>
      <w:tr w:rsidR="00B84BC6" w:rsidRPr="00B84BC6" w:rsidTr="006B3935">
        <w:tc>
          <w:tcPr>
            <w:tcW w:w="1809"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21 %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9,5 %</w:t>
            </w:r>
          </w:p>
        </w:tc>
        <w:tc>
          <w:tcPr>
            <w:tcW w:w="81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30,5%</w:t>
            </w:r>
          </w:p>
        </w:tc>
      </w:tr>
    </w:tbl>
    <w:p w:rsidR="00B84BC6" w:rsidRDefault="00B84BC6" w:rsidP="006B3935">
      <w:pPr>
        <w:spacing w:after="0" w:line="270" w:lineRule="atLeas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p w:rsidR="00B80F91" w:rsidRPr="00B84BC6" w:rsidRDefault="00B80F91" w:rsidP="006B3935">
      <w:pPr>
        <w:spacing w:after="0" w:line="270" w:lineRule="atLeast"/>
        <w:rPr>
          <w:rFonts w:ascii="Times New Roman" w:eastAsia="Times New Roman" w:hAnsi="Times New Roman" w:cs="Times New Roman"/>
          <w:sz w:val="26"/>
          <w:szCs w:val="26"/>
        </w:rPr>
      </w:pPr>
    </w:p>
    <w:p w:rsidR="00B84BC6" w:rsidRPr="00B84BC6" w:rsidRDefault="00B84BC6" w:rsidP="006B3935">
      <w:pPr>
        <w:spacing w:after="0" w:line="270" w:lineRule="atLeast"/>
        <w:ind w:left="720" w:hanging="360"/>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lastRenderedPageBreak/>
        <w:t>5)      Áp dụng từ 01/01/2014 -&gt;</w:t>
      </w:r>
    </w:p>
    <w:tbl>
      <w:tblPr>
        <w:tblW w:w="0" w:type="auto"/>
        <w:shd w:val="clear" w:color="auto" w:fill="F0F0F0"/>
        <w:tblCellMar>
          <w:left w:w="0" w:type="dxa"/>
          <w:right w:w="0" w:type="dxa"/>
        </w:tblCellMar>
        <w:tblLook w:val="04A0" w:firstRow="1" w:lastRow="0" w:firstColumn="1" w:lastColumn="0" w:noHBand="0" w:noVBand="1"/>
      </w:tblPr>
      <w:tblGrid>
        <w:gridCol w:w="910"/>
        <w:gridCol w:w="992"/>
        <w:gridCol w:w="1915"/>
        <w:gridCol w:w="1915"/>
        <w:gridCol w:w="931"/>
      </w:tblGrid>
      <w:tr w:rsidR="00B84BC6" w:rsidRPr="00B84BC6" w:rsidTr="006B3935">
        <w:tc>
          <w:tcPr>
            <w:tcW w:w="91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Tài khoản</w:t>
            </w:r>
          </w:p>
        </w:tc>
        <w:tc>
          <w:tcPr>
            <w:tcW w:w="992"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Mục</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sử dụng lao động</w:t>
            </w:r>
          </w:p>
        </w:tc>
        <w:tc>
          <w:tcPr>
            <w:tcW w:w="1915"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Người lao động</w:t>
            </w:r>
          </w:p>
        </w:tc>
        <w:tc>
          <w:tcPr>
            <w:tcW w:w="931"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r>
      <w:tr w:rsidR="00B84BC6" w:rsidRPr="00B84BC6" w:rsidTr="006B3935">
        <w:tc>
          <w:tcPr>
            <w:tcW w:w="91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3382</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KPCĐ</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c>
          <w:tcPr>
            <w:tcW w:w="93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 </w:t>
            </w:r>
          </w:p>
        </w:tc>
      </w:tr>
      <w:tr w:rsidR="00B84BC6" w:rsidRPr="00B84BC6" w:rsidTr="006B3935">
        <w:tc>
          <w:tcPr>
            <w:tcW w:w="91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3383</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BHXH</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18 %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8 %</w:t>
            </w:r>
          </w:p>
        </w:tc>
        <w:tc>
          <w:tcPr>
            <w:tcW w:w="93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26 %</w:t>
            </w:r>
          </w:p>
        </w:tc>
      </w:tr>
      <w:tr w:rsidR="00B84BC6" w:rsidRPr="00B84BC6" w:rsidTr="006B3935">
        <w:tc>
          <w:tcPr>
            <w:tcW w:w="91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3384</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BHYT</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1,5 %</w:t>
            </w:r>
          </w:p>
        </w:tc>
        <w:tc>
          <w:tcPr>
            <w:tcW w:w="93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4,5 %</w:t>
            </w:r>
          </w:p>
        </w:tc>
      </w:tr>
      <w:tr w:rsidR="00B84BC6" w:rsidRPr="00B84BC6" w:rsidTr="006B3935">
        <w:tc>
          <w:tcPr>
            <w:tcW w:w="91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3389</w:t>
            </w:r>
          </w:p>
        </w:tc>
        <w:tc>
          <w:tcPr>
            <w:tcW w:w="992"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BHTN</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1 %</w:t>
            </w:r>
          </w:p>
        </w:tc>
        <w:tc>
          <w:tcPr>
            <w:tcW w:w="93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sz w:val="26"/>
                <w:szCs w:val="26"/>
              </w:rPr>
              <w:t>2 %</w:t>
            </w:r>
          </w:p>
        </w:tc>
      </w:tr>
      <w:tr w:rsidR="00B84BC6" w:rsidRPr="00B84BC6" w:rsidTr="006B3935">
        <w:tc>
          <w:tcPr>
            <w:tcW w:w="1902" w:type="dxa"/>
            <w:gridSpan w:val="2"/>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center"/>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Tổng</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21 %</w:t>
            </w:r>
          </w:p>
        </w:tc>
        <w:tc>
          <w:tcPr>
            <w:tcW w:w="191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10,5 %</w:t>
            </w:r>
          </w:p>
        </w:tc>
        <w:tc>
          <w:tcPr>
            <w:tcW w:w="93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B84BC6" w:rsidRPr="00B84BC6" w:rsidRDefault="00B84BC6" w:rsidP="006B3935">
            <w:pPr>
              <w:spacing w:after="0" w:line="240" w:lineRule="auto"/>
              <w:jc w:val="right"/>
              <w:rPr>
                <w:rFonts w:ascii="Times New Roman" w:eastAsia="Times New Roman" w:hAnsi="Times New Roman" w:cs="Times New Roman"/>
                <w:sz w:val="26"/>
                <w:szCs w:val="26"/>
              </w:rPr>
            </w:pPr>
            <w:r w:rsidRPr="00B84BC6">
              <w:rPr>
                <w:rFonts w:ascii="Times New Roman" w:eastAsia="Times New Roman" w:hAnsi="Times New Roman" w:cs="Times New Roman"/>
                <w:b/>
                <w:bCs/>
                <w:sz w:val="26"/>
                <w:szCs w:val="26"/>
              </w:rPr>
              <w:t>32,5%</w:t>
            </w:r>
          </w:p>
        </w:tc>
      </w:tr>
    </w:tbl>
    <w:p w:rsidR="006B3935" w:rsidRDefault="006B3935" w:rsidP="006B3935">
      <w:pPr>
        <w:rPr>
          <w:rFonts w:ascii="Arial" w:hAnsi="Arial" w:cs="Arial"/>
          <w:color w:val="666666"/>
          <w:sz w:val="18"/>
          <w:szCs w:val="18"/>
          <w:shd w:val="clear" w:color="auto" w:fill="F0F0F0"/>
        </w:rPr>
      </w:pPr>
    </w:p>
    <w:p w:rsidR="006B73A0" w:rsidRPr="006B73A0" w:rsidRDefault="006B73A0" w:rsidP="006B73A0">
      <w:pPr>
        <w:spacing w:after="0" w:line="270" w:lineRule="atLeast"/>
        <w:rPr>
          <w:rFonts w:ascii="Times New Roman" w:eastAsia="Times New Roman" w:hAnsi="Times New Roman" w:cs="Times New Roman"/>
          <w:sz w:val="26"/>
          <w:szCs w:val="26"/>
        </w:rPr>
      </w:pPr>
      <w:r w:rsidRPr="006B73A0">
        <w:rPr>
          <w:rFonts w:ascii="Times New Roman" w:eastAsia="Times New Roman" w:hAnsi="Times New Roman" w:cs="Times New Roman"/>
          <w:b/>
          <w:bCs/>
          <w:sz w:val="26"/>
          <w:szCs w:val="26"/>
        </w:rPr>
        <w:t>Tổng hợp:</w:t>
      </w:r>
    </w:p>
    <w:p w:rsidR="006B73A0" w:rsidRPr="006B73A0" w:rsidRDefault="006B73A0" w:rsidP="006B73A0">
      <w:pPr>
        <w:spacing w:after="0" w:line="270" w:lineRule="atLeast"/>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 </w:t>
      </w:r>
    </w:p>
    <w:tbl>
      <w:tblPr>
        <w:tblW w:w="8145" w:type="dxa"/>
        <w:tblInd w:w="468" w:type="dxa"/>
        <w:shd w:val="clear" w:color="auto" w:fill="F0F0F0"/>
        <w:tblCellMar>
          <w:left w:w="0" w:type="dxa"/>
          <w:right w:w="0" w:type="dxa"/>
        </w:tblCellMar>
        <w:tblLook w:val="04A0" w:firstRow="1" w:lastRow="0" w:firstColumn="1" w:lastColumn="0" w:noHBand="0" w:noVBand="1"/>
      </w:tblPr>
      <w:tblGrid>
        <w:gridCol w:w="1583"/>
        <w:gridCol w:w="959"/>
        <w:gridCol w:w="979"/>
        <w:gridCol w:w="929"/>
        <w:gridCol w:w="959"/>
        <w:gridCol w:w="954"/>
        <w:gridCol w:w="954"/>
        <w:gridCol w:w="828"/>
      </w:tblGrid>
      <w:tr w:rsidR="006B73A0" w:rsidRPr="006B73A0" w:rsidTr="006B73A0">
        <w:tc>
          <w:tcPr>
            <w:tcW w:w="1680"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Năm</w:t>
            </w:r>
          </w:p>
        </w:tc>
        <w:tc>
          <w:tcPr>
            <w:tcW w:w="2880"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Người sử dụng lao động (%)</w:t>
            </w:r>
          </w:p>
        </w:tc>
        <w:tc>
          <w:tcPr>
            <w:tcW w:w="2880"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Người lao động (%)</w:t>
            </w:r>
          </w:p>
        </w:tc>
        <w:tc>
          <w:tcPr>
            <w:tcW w:w="840" w:type="dxa"/>
            <w:vMerge w:val="restar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Tổng cộng (%)</w:t>
            </w:r>
          </w:p>
        </w:tc>
      </w:tr>
      <w:tr w:rsidR="006B73A0" w:rsidRPr="006B73A0" w:rsidTr="006B73A0">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hideMark/>
          </w:tcPr>
          <w:p w:rsidR="006B73A0" w:rsidRPr="006B73A0" w:rsidRDefault="006B73A0" w:rsidP="006B73A0">
            <w:pPr>
              <w:spacing w:after="0" w:line="240" w:lineRule="auto"/>
              <w:rPr>
                <w:rFonts w:ascii="Times New Roman" w:eastAsia="Times New Roman" w:hAnsi="Times New Roman" w:cs="Times New Roman"/>
                <w:sz w:val="26"/>
                <w:szCs w:val="26"/>
              </w:rPr>
            </w:pP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BHXH</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BHYT</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BHTN</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BHXH</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BHYT</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BHTN</w:t>
            </w:r>
          </w:p>
        </w:tc>
        <w:tc>
          <w:tcPr>
            <w:tcW w:w="0" w:type="auto"/>
            <w:vMerge/>
            <w:tcBorders>
              <w:top w:val="single" w:sz="8" w:space="0" w:color="auto"/>
              <w:left w:val="nil"/>
              <w:bottom w:val="single" w:sz="8" w:space="0" w:color="auto"/>
              <w:right w:val="single" w:sz="8" w:space="0" w:color="auto"/>
            </w:tcBorders>
            <w:shd w:val="clear" w:color="auto" w:fill="auto"/>
            <w:vAlign w:val="center"/>
            <w:hideMark/>
          </w:tcPr>
          <w:p w:rsidR="006B73A0" w:rsidRPr="006B73A0" w:rsidRDefault="006B73A0" w:rsidP="006B73A0">
            <w:pPr>
              <w:spacing w:after="0" w:line="240" w:lineRule="auto"/>
              <w:rPr>
                <w:rFonts w:ascii="Times New Roman" w:eastAsia="Times New Roman" w:hAnsi="Times New Roman" w:cs="Times New Roman"/>
                <w:sz w:val="26"/>
                <w:szCs w:val="26"/>
              </w:rPr>
            </w:pPr>
          </w:p>
        </w:tc>
      </w:tr>
      <w:tr w:rsidR="006B73A0" w:rsidRPr="006B73A0" w:rsidTr="006B73A0">
        <w:tc>
          <w:tcPr>
            <w:tcW w:w="168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01/2007</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15</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2</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70" w:lineRule="atLeast"/>
              <w:rPr>
                <w:rFonts w:ascii="Times New Roman" w:eastAsia="Times New Roman" w:hAnsi="Times New Roman" w:cs="Times New Roman"/>
                <w:sz w:val="26"/>
                <w:szCs w:val="26"/>
              </w:rPr>
            </w:pP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5</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70" w:lineRule="atLeast"/>
              <w:rPr>
                <w:rFonts w:ascii="Times New Roman" w:eastAsia="Times New Roman" w:hAnsi="Times New Roman" w:cs="Times New Roman"/>
                <w:sz w:val="26"/>
                <w:szCs w:val="26"/>
              </w:rPr>
            </w:pP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23</w:t>
            </w:r>
          </w:p>
        </w:tc>
      </w:tr>
      <w:tr w:rsidR="006B73A0" w:rsidRPr="006B73A0" w:rsidTr="006B73A0">
        <w:tc>
          <w:tcPr>
            <w:tcW w:w="168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01/2009</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15</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2</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5</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25</w:t>
            </w:r>
          </w:p>
        </w:tc>
      </w:tr>
      <w:tr w:rsidR="006B73A0" w:rsidRPr="006B73A0" w:rsidTr="006B73A0">
        <w:tc>
          <w:tcPr>
            <w:tcW w:w="168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Từ 01/2010</w:t>
            </w:r>
          </w:p>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đến 12/2011</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16</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3</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6</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1,5</w:t>
            </w:r>
          </w:p>
        </w:tc>
        <w:tc>
          <w:tcPr>
            <w:tcW w:w="72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28,5</w:t>
            </w:r>
          </w:p>
        </w:tc>
      </w:tr>
      <w:tr w:rsidR="006B73A0" w:rsidRPr="006B73A0" w:rsidTr="006B73A0">
        <w:tc>
          <w:tcPr>
            <w:tcW w:w="168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Từ 01/2012</w:t>
            </w:r>
          </w:p>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đến 12/2013</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17</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3</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7</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30,5</w:t>
            </w:r>
          </w:p>
        </w:tc>
      </w:tr>
      <w:tr w:rsidR="006B73A0" w:rsidRPr="006B73A0" w:rsidTr="006B73A0">
        <w:tc>
          <w:tcPr>
            <w:tcW w:w="168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01/2014</w:t>
            </w:r>
          </w:p>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trở đi</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18</w:t>
            </w:r>
          </w:p>
        </w:tc>
        <w:tc>
          <w:tcPr>
            <w:tcW w:w="99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3</w:t>
            </w:r>
          </w:p>
        </w:tc>
        <w:tc>
          <w:tcPr>
            <w:tcW w:w="93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8</w:t>
            </w:r>
          </w:p>
        </w:tc>
        <w:tc>
          <w:tcPr>
            <w:tcW w:w="96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1</w:t>
            </w:r>
          </w:p>
        </w:tc>
        <w:tc>
          <w:tcPr>
            <w:tcW w:w="840"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73A0" w:rsidRPr="006B73A0" w:rsidRDefault="006B73A0" w:rsidP="006B73A0">
            <w:pPr>
              <w:spacing w:after="0" w:line="240" w:lineRule="auto"/>
              <w:jc w:val="center"/>
              <w:rPr>
                <w:rFonts w:ascii="Times New Roman" w:eastAsia="Times New Roman" w:hAnsi="Times New Roman" w:cs="Times New Roman"/>
                <w:sz w:val="26"/>
                <w:szCs w:val="26"/>
              </w:rPr>
            </w:pPr>
            <w:r w:rsidRPr="006B73A0">
              <w:rPr>
                <w:rFonts w:ascii="Times New Roman" w:eastAsia="Times New Roman" w:hAnsi="Times New Roman" w:cs="Times New Roman"/>
                <w:sz w:val="26"/>
                <w:szCs w:val="26"/>
              </w:rPr>
              <w:t>32,5</w:t>
            </w:r>
          </w:p>
        </w:tc>
      </w:tr>
    </w:tbl>
    <w:p w:rsidR="006B73A0" w:rsidRDefault="006B73A0" w:rsidP="006B3935">
      <w:pPr>
        <w:jc w:val="center"/>
        <w:rPr>
          <w:rFonts w:ascii="Times New Roman" w:hAnsi="Times New Roman" w:cs="Times New Roman"/>
          <w:b/>
          <w:sz w:val="26"/>
          <w:szCs w:val="26"/>
          <w:shd w:val="clear" w:color="auto" w:fill="F0F0F0"/>
        </w:rPr>
      </w:pPr>
    </w:p>
    <w:p w:rsidR="006B3935" w:rsidRPr="006B3935" w:rsidRDefault="006B3935" w:rsidP="006B3935">
      <w:pPr>
        <w:jc w:val="center"/>
        <w:rPr>
          <w:rFonts w:ascii="Times New Roman" w:eastAsia="Times New Roman" w:hAnsi="Times New Roman" w:cs="Times New Roman"/>
          <w:b/>
          <w:sz w:val="26"/>
          <w:szCs w:val="26"/>
          <w:shd w:val="clear" w:color="auto" w:fill="F0F0F0"/>
        </w:rPr>
      </w:pPr>
      <w:r w:rsidRPr="006B3935">
        <w:rPr>
          <w:rFonts w:ascii="Times New Roman" w:hAnsi="Times New Roman" w:cs="Times New Roman"/>
          <w:b/>
          <w:sz w:val="26"/>
          <w:szCs w:val="26"/>
          <w:shd w:val="clear" w:color="auto" w:fill="F0F0F0"/>
        </w:rPr>
        <w:t>MỨC LƯƠNG TỐI THIỂU TỪ 1997 ĐẾN NAY</w:t>
      </w:r>
    </w:p>
    <w:p w:rsidR="006B3935" w:rsidRPr="006B3935" w:rsidRDefault="006B3935" w:rsidP="006B3935">
      <w:pPr>
        <w:spacing w:after="0" w:line="270" w:lineRule="atLeast"/>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13 - Mức lương tối thiểu vùng áp dụng từ ngày 01/10/2011 – 31/12/2012</w:t>
      </w:r>
      <w:r w:rsidRPr="006B3935">
        <w:rPr>
          <w:rFonts w:ascii="Times New Roman" w:eastAsia="Times New Roman" w:hAnsi="Times New Roman" w:cs="Times New Roman"/>
          <w:sz w:val="26"/>
          <w:szCs w:val="26"/>
        </w:rPr>
        <w:br/>
        <w:t>Nghị định số 70/2011/NĐ-CP (22/08/2011)</w:t>
      </w:r>
    </w:p>
    <w:tbl>
      <w:tblPr>
        <w:tblW w:w="6599" w:type="dxa"/>
        <w:tblInd w:w="1188" w:type="dxa"/>
        <w:shd w:val="clear" w:color="auto" w:fill="F0F0F0"/>
        <w:tblCellMar>
          <w:left w:w="0" w:type="dxa"/>
          <w:right w:w="0" w:type="dxa"/>
        </w:tblCellMar>
        <w:tblLook w:val="04A0" w:firstRow="1" w:lastRow="0" w:firstColumn="1" w:lastColumn="0" w:noHBand="0" w:noVBand="1"/>
      </w:tblPr>
      <w:tblGrid>
        <w:gridCol w:w="1212"/>
        <w:gridCol w:w="2973"/>
        <w:gridCol w:w="2414"/>
      </w:tblGrid>
      <w:tr w:rsidR="006B3935" w:rsidRPr="006B3935" w:rsidTr="006B3935">
        <w:tc>
          <w:tcPr>
            <w:tcW w:w="121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Vùng</w:t>
            </w:r>
          </w:p>
        </w:tc>
        <w:tc>
          <w:tcPr>
            <w:tcW w:w="297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Mức lương tối thiểu  (Đồng /tháng)</w:t>
            </w:r>
          </w:p>
        </w:tc>
        <w:tc>
          <w:tcPr>
            <w:tcW w:w="24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DN – FDI, nước ngoài</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2.000.000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1.780.000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1.550.000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IV</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1.400.000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bl>
    <w:p w:rsidR="006B3935" w:rsidRPr="006B3935" w:rsidRDefault="006B3935" w:rsidP="006B3935">
      <w:pPr>
        <w:spacing w:after="0" w:line="240" w:lineRule="auto"/>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br/>
      </w:r>
    </w:p>
    <w:p w:rsidR="006B3935" w:rsidRPr="006B3935" w:rsidRDefault="006B3935" w:rsidP="006B3935">
      <w:pPr>
        <w:spacing w:after="0" w:line="270" w:lineRule="atLeast"/>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14 - Mức lương tối thiểu vùng áp dụng từ ngày 01/01/2013 – 31/12/2013</w:t>
      </w:r>
      <w:r w:rsidRPr="006B3935">
        <w:rPr>
          <w:rFonts w:ascii="Times New Roman" w:eastAsia="Times New Roman" w:hAnsi="Times New Roman" w:cs="Times New Roman"/>
          <w:sz w:val="26"/>
          <w:szCs w:val="26"/>
        </w:rPr>
        <w:br/>
        <w:t>Nghị định số 103/2012/NĐ-CP ngày 04/12/2012</w:t>
      </w:r>
    </w:p>
    <w:tbl>
      <w:tblPr>
        <w:tblW w:w="6599" w:type="dxa"/>
        <w:tblInd w:w="1188" w:type="dxa"/>
        <w:shd w:val="clear" w:color="auto" w:fill="F0F0F0"/>
        <w:tblCellMar>
          <w:left w:w="0" w:type="dxa"/>
          <w:right w:w="0" w:type="dxa"/>
        </w:tblCellMar>
        <w:tblLook w:val="04A0" w:firstRow="1" w:lastRow="0" w:firstColumn="1" w:lastColumn="0" w:noHBand="0" w:noVBand="1"/>
      </w:tblPr>
      <w:tblGrid>
        <w:gridCol w:w="1212"/>
        <w:gridCol w:w="2973"/>
        <w:gridCol w:w="2414"/>
      </w:tblGrid>
      <w:tr w:rsidR="006B3935" w:rsidRPr="006B3935" w:rsidTr="006B3935">
        <w:tc>
          <w:tcPr>
            <w:tcW w:w="121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Vùng</w:t>
            </w:r>
          </w:p>
        </w:tc>
        <w:tc>
          <w:tcPr>
            <w:tcW w:w="297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Mức lương tối thiểu  (Đồng /tháng)</w:t>
            </w:r>
          </w:p>
        </w:tc>
        <w:tc>
          <w:tcPr>
            <w:tcW w:w="24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DN – FDI, nước ngoài</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2.350.000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2.100.000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lastRenderedPageBreak/>
              <w:t>III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1.800.000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IV</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1.650.000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bl>
    <w:p w:rsidR="006B3935" w:rsidRPr="006B3935" w:rsidRDefault="006B3935" w:rsidP="006B3935">
      <w:pPr>
        <w:spacing w:after="0" w:line="270" w:lineRule="atLeast"/>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p w:rsidR="006B3935" w:rsidRPr="006B3935" w:rsidRDefault="006B3935" w:rsidP="006B3935">
      <w:pPr>
        <w:spacing w:after="0" w:line="270" w:lineRule="atLeast"/>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15 - Mức lương tối thiểu vùng áp dụng từ ngày 01/01/2014 – 31/12/2014</w:t>
      </w:r>
      <w:r w:rsidRPr="006B3935">
        <w:rPr>
          <w:rFonts w:ascii="Times New Roman" w:eastAsia="Times New Roman" w:hAnsi="Times New Roman" w:cs="Times New Roman"/>
          <w:sz w:val="26"/>
          <w:szCs w:val="26"/>
        </w:rPr>
        <w:br/>
        <w:t>Thông tư số 02/2014/TT-BLĐTBXH ngày 10/01/2014</w:t>
      </w:r>
    </w:p>
    <w:tbl>
      <w:tblPr>
        <w:tblW w:w="6599" w:type="dxa"/>
        <w:tblInd w:w="1188" w:type="dxa"/>
        <w:shd w:val="clear" w:color="auto" w:fill="F0F0F0"/>
        <w:tblCellMar>
          <w:left w:w="0" w:type="dxa"/>
          <w:right w:w="0" w:type="dxa"/>
        </w:tblCellMar>
        <w:tblLook w:val="04A0" w:firstRow="1" w:lastRow="0" w:firstColumn="1" w:lastColumn="0" w:noHBand="0" w:noVBand="1"/>
      </w:tblPr>
      <w:tblGrid>
        <w:gridCol w:w="1212"/>
        <w:gridCol w:w="2973"/>
        <w:gridCol w:w="2414"/>
      </w:tblGrid>
      <w:tr w:rsidR="006B3935" w:rsidRPr="006B3935" w:rsidTr="006B3935">
        <w:tc>
          <w:tcPr>
            <w:tcW w:w="121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Vùng</w:t>
            </w:r>
          </w:p>
        </w:tc>
        <w:tc>
          <w:tcPr>
            <w:tcW w:w="297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Mức lương tối thiểu  (Đồng /tháng)</w:t>
            </w:r>
          </w:p>
        </w:tc>
        <w:tc>
          <w:tcPr>
            <w:tcW w:w="241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b/>
                <w:bCs/>
                <w:sz w:val="26"/>
                <w:szCs w:val="26"/>
              </w:rPr>
              <w:t>DN – FDI, nước ngoài</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2.700.000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2.400.000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III</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2.100.000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r w:rsidR="006B3935" w:rsidRPr="006B3935" w:rsidTr="006B3935">
        <w:tc>
          <w:tcPr>
            <w:tcW w:w="121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IV</w:t>
            </w:r>
          </w:p>
        </w:tc>
        <w:tc>
          <w:tcPr>
            <w:tcW w:w="297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1.900.000</w:t>
            </w:r>
          </w:p>
        </w:tc>
        <w:tc>
          <w:tcPr>
            <w:tcW w:w="241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B3935" w:rsidRPr="006B3935" w:rsidRDefault="006B3935" w:rsidP="006B3935">
            <w:pPr>
              <w:spacing w:after="0" w:line="240" w:lineRule="auto"/>
              <w:jc w:val="center"/>
              <w:rPr>
                <w:rFonts w:ascii="Times New Roman" w:eastAsia="Times New Roman" w:hAnsi="Times New Roman" w:cs="Times New Roman"/>
                <w:sz w:val="26"/>
                <w:szCs w:val="26"/>
              </w:rPr>
            </w:pPr>
            <w:r w:rsidRPr="006B3935">
              <w:rPr>
                <w:rFonts w:ascii="Times New Roman" w:eastAsia="Times New Roman" w:hAnsi="Times New Roman" w:cs="Times New Roman"/>
                <w:sz w:val="26"/>
                <w:szCs w:val="26"/>
              </w:rPr>
              <w:t> </w:t>
            </w:r>
          </w:p>
        </w:tc>
      </w:tr>
    </w:tbl>
    <w:p w:rsidR="000D614D" w:rsidRPr="000D614D" w:rsidRDefault="000D614D" w:rsidP="000D614D">
      <w:pPr>
        <w:spacing w:after="0" w:line="270" w:lineRule="atLeast"/>
        <w:rPr>
          <w:rFonts w:ascii="Times New Roman" w:eastAsia="Times New Roman" w:hAnsi="Times New Roman" w:cs="Times New Roman"/>
          <w:sz w:val="26"/>
          <w:szCs w:val="26"/>
        </w:rPr>
      </w:pPr>
    </w:p>
    <w:p w:rsidR="000D614D" w:rsidRPr="000D614D" w:rsidRDefault="000D614D" w:rsidP="000D614D">
      <w:pPr>
        <w:spacing w:after="0" w:line="270" w:lineRule="atLeast"/>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 xml:space="preserve">Trong phạm </w:t>
      </w:r>
      <w:proofErr w:type="gramStart"/>
      <w:r w:rsidRPr="000D614D">
        <w:rPr>
          <w:rFonts w:ascii="Times New Roman" w:eastAsia="Times New Roman" w:hAnsi="Times New Roman" w:cs="Times New Roman"/>
          <w:sz w:val="26"/>
          <w:szCs w:val="26"/>
        </w:rPr>
        <w:t>vi</w:t>
      </w:r>
      <w:proofErr w:type="gramEnd"/>
      <w:r w:rsidRPr="000D614D">
        <w:rPr>
          <w:rFonts w:ascii="Times New Roman" w:eastAsia="Times New Roman" w:hAnsi="Times New Roman" w:cs="Times New Roman"/>
          <w:sz w:val="26"/>
          <w:szCs w:val="26"/>
        </w:rPr>
        <w:t xml:space="preserve"> bài viết này, chỉ đề cập đến hoạt động kinh tế của quỹ Bảo hiểm xã hội (BHXH). </w:t>
      </w:r>
      <w:proofErr w:type="gramStart"/>
      <w:r w:rsidRPr="000D614D">
        <w:rPr>
          <w:rFonts w:ascii="Times New Roman" w:eastAsia="Times New Roman" w:hAnsi="Times New Roman" w:cs="Times New Roman"/>
          <w:sz w:val="26"/>
          <w:szCs w:val="26"/>
        </w:rPr>
        <w:t>Bảo hiển Y tế và Bảo hiểm thất nghiệp sẽ được đề cập vào một dịp khác.</w:t>
      </w:r>
      <w:proofErr w:type="gramEnd"/>
      <w:r w:rsidRPr="000D614D">
        <w:rPr>
          <w:rFonts w:ascii="Times New Roman" w:eastAsia="Times New Roman" w:hAnsi="Times New Roman" w:cs="Times New Roman"/>
          <w:sz w:val="26"/>
          <w:szCs w:val="26"/>
        </w:rPr>
        <w:t xml:space="preserve"> </w:t>
      </w:r>
      <w:proofErr w:type="gramStart"/>
      <w:r w:rsidRPr="000D614D">
        <w:rPr>
          <w:rFonts w:ascii="Times New Roman" w:eastAsia="Times New Roman" w:hAnsi="Times New Roman" w:cs="Times New Roman"/>
          <w:sz w:val="26"/>
          <w:szCs w:val="26"/>
        </w:rPr>
        <w:t>Lưu ý, các quỹ bảo hiểm trên là bắt buộc.</w:t>
      </w:r>
      <w:proofErr w:type="gramEnd"/>
      <w:r w:rsidRPr="000D614D">
        <w:rPr>
          <w:rFonts w:ascii="Times New Roman" w:eastAsia="Times New Roman" w:hAnsi="Times New Roman" w:cs="Times New Roman"/>
          <w:sz w:val="26"/>
          <w:szCs w:val="26"/>
        </w:rPr>
        <w:t xml:space="preserve"> Doanh nghiệp và người </w:t>
      </w:r>
      <w:proofErr w:type="gramStart"/>
      <w:r w:rsidRPr="000D614D">
        <w:rPr>
          <w:rFonts w:ascii="Times New Roman" w:eastAsia="Times New Roman" w:hAnsi="Times New Roman" w:cs="Times New Roman"/>
          <w:sz w:val="26"/>
          <w:szCs w:val="26"/>
        </w:rPr>
        <w:t>lao</w:t>
      </w:r>
      <w:proofErr w:type="gramEnd"/>
      <w:r w:rsidRPr="000D614D">
        <w:rPr>
          <w:rFonts w:ascii="Times New Roman" w:eastAsia="Times New Roman" w:hAnsi="Times New Roman" w:cs="Times New Roman"/>
          <w:sz w:val="26"/>
          <w:szCs w:val="26"/>
        </w:rPr>
        <w:t xml:space="preserve"> động chậm đóng sẽ bị phạt hành chính, nếu không đóng sẽ bị truy tố hình sự. Nên, các khoản </w:t>
      </w:r>
      <w:proofErr w:type="gramStart"/>
      <w:r w:rsidRPr="000D614D">
        <w:rPr>
          <w:rFonts w:ascii="Times New Roman" w:eastAsia="Times New Roman" w:hAnsi="Times New Roman" w:cs="Times New Roman"/>
          <w:sz w:val="26"/>
          <w:szCs w:val="26"/>
        </w:rPr>
        <w:t>thu</w:t>
      </w:r>
      <w:proofErr w:type="gramEnd"/>
      <w:r w:rsidRPr="000D614D">
        <w:rPr>
          <w:rFonts w:ascii="Times New Roman" w:eastAsia="Times New Roman" w:hAnsi="Times New Roman" w:cs="Times New Roman"/>
          <w:sz w:val="26"/>
          <w:szCs w:val="26"/>
        </w:rPr>
        <w:t xml:space="preserve"> bảo hiểm bắt buộc này là khoản thu thường xuyên, tính toán trước được.</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Tính toán từ bảng trên, mỗi năm quỹ BHXH thu được số tiền</w:t>
      </w:r>
      <w:proofErr w:type="gramStart"/>
      <w:r w:rsidRPr="000D614D">
        <w:rPr>
          <w:rFonts w:ascii="Times New Roman" w:eastAsia="Times New Roman" w:hAnsi="Times New Roman" w:cs="Times New Roman"/>
          <w:sz w:val="26"/>
          <w:szCs w:val="26"/>
        </w:rPr>
        <w:t>:</w:t>
      </w:r>
      <w:proofErr w:type="gramEnd"/>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Cao nhất là </w:t>
      </w:r>
      <w:r w:rsidRPr="000D614D">
        <w:rPr>
          <w:rFonts w:ascii="Times New Roman" w:eastAsia="Times New Roman" w:hAnsi="Times New Roman" w:cs="Times New Roman"/>
          <w:sz w:val="26"/>
          <w:szCs w:val="26"/>
        </w:rPr>
        <w:br/>
        <w:t>(18% + 8%) * 12 tháng = 3.12 tháng lương</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Thấp nhất là</w:t>
      </w:r>
      <w:r w:rsidRPr="000D614D">
        <w:rPr>
          <w:rFonts w:ascii="Times New Roman" w:eastAsia="Times New Roman" w:hAnsi="Times New Roman" w:cs="Times New Roman"/>
          <w:sz w:val="26"/>
          <w:szCs w:val="26"/>
        </w:rPr>
        <w:br/>
        <w:t>(15% + 5%) *  12 tháng = 2.4 tháng lương</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Tính bình quân, mỗi năm quỹ BHXH thu được từ một người đi làm một số tiền tương đương với 2.7 tháng lương của người đó. Số tiền đóng vào quỹ sau 5 năm, 10 năm, 15 năm và 20 năm lần lượt là</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 xml:space="preserve">Theo chế độ lãnh BHXH 1 lần (văn tự ghi là "trợ cấp" BHXH, điều này không đúng. Vì đây là tiền của doanh nghiệp và người </w:t>
      </w:r>
      <w:proofErr w:type="gramStart"/>
      <w:r w:rsidRPr="000D614D">
        <w:rPr>
          <w:rFonts w:ascii="Times New Roman" w:eastAsia="Times New Roman" w:hAnsi="Times New Roman" w:cs="Times New Roman"/>
          <w:sz w:val="26"/>
          <w:szCs w:val="26"/>
        </w:rPr>
        <w:t>lao</w:t>
      </w:r>
      <w:proofErr w:type="gramEnd"/>
      <w:r w:rsidRPr="000D614D">
        <w:rPr>
          <w:rFonts w:ascii="Times New Roman" w:eastAsia="Times New Roman" w:hAnsi="Times New Roman" w:cs="Times New Roman"/>
          <w:sz w:val="26"/>
          <w:szCs w:val="26"/>
        </w:rPr>
        <w:t xml:space="preserve"> động đóng, chẳng ai có quyền "trợ cấp" cho ai ở đây cả) mỗi năm làm việc được lãnh 1.5 tháng lương. Số tiền được lãnh (dân gian gọi là 1 cục) </w:t>
      </w:r>
      <w:proofErr w:type="gramStart"/>
      <w:r w:rsidRPr="000D614D">
        <w:rPr>
          <w:rFonts w:ascii="Times New Roman" w:eastAsia="Times New Roman" w:hAnsi="Times New Roman" w:cs="Times New Roman"/>
          <w:sz w:val="26"/>
          <w:szCs w:val="26"/>
        </w:rPr>
        <w:t>theo</w:t>
      </w:r>
      <w:proofErr w:type="gramEnd"/>
      <w:r w:rsidRPr="000D614D">
        <w:rPr>
          <w:rFonts w:ascii="Times New Roman" w:eastAsia="Times New Roman" w:hAnsi="Times New Roman" w:cs="Times New Roman"/>
          <w:sz w:val="26"/>
          <w:szCs w:val="26"/>
        </w:rPr>
        <w:t xml:space="preserve"> số năm làm việc so với 2 phương án cất trong tủ và đầu tư tài chính cụ thể như sau:</w:t>
      </w:r>
    </w:p>
    <w:tbl>
      <w:tblPr>
        <w:tblW w:w="81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0F0F0"/>
        <w:tblCellMar>
          <w:left w:w="0" w:type="dxa"/>
          <w:right w:w="0" w:type="dxa"/>
        </w:tblCellMar>
        <w:tblLook w:val="04A0" w:firstRow="1" w:lastRow="0" w:firstColumn="1" w:lastColumn="0" w:noHBand="0" w:noVBand="1"/>
      </w:tblPr>
      <w:tblGrid>
        <w:gridCol w:w="1193"/>
        <w:gridCol w:w="2179"/>
        <w:gridCol w:w="2394"/>
        <w:gridCol w:w="2394"/>
      </w:tblGrid>
      <w:tr w:rsidR="000D614D" w:rsidRPr="000D614D" w:rsidTr="000D614D">
        <w:trPr>
          <w:trHeight w:val="492"/>
          <w:tblCellSpacing w:w="0" w:type="dxa"/>
        </w:trPr>
        <w:tc>
          <w:tcPr>
            <w:tcW w:w="977" w:type="dxa"/>
            <w:shd w:val="clear" w:color="auto" w:fill="auto"/>
            <w:tcMar>
              <w:top w:w="0" w:type="dxa"/>
              <w:left w:w="108" w:type="dxa"/>
              <w:bottom w:w="0" w:type="dxa"/>
              <w:right w:w="108" w:type="dxa"/>
            </w:tcMar>
            <w:vAlign w:val="bottom"/>
            <w:hideMark/>
          </w:tcPr>
          <w:p w:rsidR="000D614D" w:rsidRPr="000D614D" w:rsidRDefault="000D614D" w:rsidP="000D614D">
            <w:pPr>
              <w:spacing w:after="0" w:line="240" w:lineRule="auto"/>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Thời gian làm việc</w:t>
            </w:r>
          </w:p>
        </w:tc>
        <w:tc>
          <w:tcPr>
            <w:tcW w:w="1800" w:type="dxa"/>
            <w:shd w:val="clear" w:color="auto" w:fill="auto"/>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Nếu cất trong tủ mỗi năm 2.7 tháng lương</w:t>
            </w:r>
          </w:p>
        </w:tc>
        <w:tc>
          <w:tcPr>
            <w:tcW w:w="1980" w:type="dxa"/>
            <w:shd w:val="clear" w:color="auto" w:fill="auto"/>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Nếu mua Trái phiếu lãi suất 5%</w:t>
            </w:r>
          </w:p>
        </w:tc>
        <w:tc>
          <w:tcPr>
            <w:tcW w:w="1980" w:type="dxa"/>
            <w:shd w:val="clear" w:color="auto" w:fill="auto"/>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BHXH chi trả 1 lần theo quy định 1.5 tháng lương cho mỗi năm công tác</w:t>
            </w:r>
          </w:p>
        </w:tc>
      </w:tr>
      <w:tr w:rsidR="000D614D" w:rsidRPr="000D614D" w:rsidTr="000D614D">
        <w:trPr>
          <w:trHeight w:val="264"/>
          <w:tblCellSpacing w:w="0" w:type="dxa"/>
        </w:trPr>
        <w:tc>
          <w:tcPr>
            <w:tcW w:w="977"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5 năm</w:t>
            </w:r>
          </w:p>
        </w:tc>
        <w:tc>
          <w:tcPr>
            <w:tcW w:w="180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13.5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14.92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7.5 tháng lương</w:t>
            </w:r>
          </w:p>
        </w:tc>
      </w:tr>
      <w:tr w:rsidR="000D614D" w:rsidRPr="000D614D" w:rsidTr="000D614D">
        <w:trPr>
          <w:trHeight w:val="264"/>
          <w:tblCellSpacing w:w="0" w:type="dxa"/>
        </w:trPr>
        <w:tc>
          <w:tcPr>
            <w:tcW w:w="977"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10 năm</w:t>
            </w:r>
          </w:p>
        </w:tc>
        <w:tc>
          <w:tcPr>
            <w:tcW w:w="180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27.0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33.96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15.0 tháng lương</w:t>
            </w:r>
          </w:p>
        </w:tc>
      </w:tr>
      <w:tr w:rsidR="000D614D" w:rsidRPr="000D614D" w:rsidTr="000D614D">
        <w:trPr>
          <w:trHeight w:val="264"/>
          <w:tblCellSpacing w:w="0" w:type="dxa"/>
        </w:trPr>
        <w:tc>
          <w:tcPr>
            <w:tcW w:w="977"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15 năm</w:t>
            </w:r>
          </w:p>
        </w:tc>
        <w:tc>
          <w:tcPr>
            <w:tcW w:w="180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40.5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58.26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22.5 tháng lương</w:t>
            </w:r>
          </w:p>
        </w:tc>
      </w:tr>
      <w:tr w:rsidR="000D614D" w:rsidRPr="000D614D" w:rsidTr="000D614D">
        <w:trPr>
          <w:trHeight w:val="264"/>
          <w:tblCellSpacing w:w="0" w:type="dxa"/>
        </w:trPr>
        <w:tc>
          <w:tcPr>
            <w:tcW w:w="977"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20 năm</w:t>
            </w:r>
          </w:p>
        </w:tc>
        <w:tc>
          <w:tcPr>
            <w:tcW w:w="180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54.0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89.28 tháng lương</w:t>
            </w:r>
          </w:p>
        </w:tc>
        <w:tc>
          <w:tcPr>
            <w:tcW w:w="1980" w:type="dxa"/>
            <w:shd w:val="clear" w:color="auto" w:fill="auto"/>
            <w:noWrap/>
            <w:tcMar>
              <w:top w:w="0" w:type="dxa"/>
              <w:left w:w="108" w:type="dxa"/>
              <w:bottom w:w="0" w:type="dxa"/>
              <w:right w:w="108" w:type="dxa"/>
            </w:tcMar>
            <w:vAlign w:val="bottom"/>
            <w:hideMark/>
          </w:tcPr>
          <w:p w:rsidR="000D614D" w:rsidRPr="000D614D" w:rsidRDefault="000D614D" w:rsidP="000D614D">
            <w:pPr>
              <w:spacing w:after="0" w:line="240" w:lineRule="auto"/>
              <w:jc w:val="center"/>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rPr>
              <w:t>30.0 tháng lương</w:t>
            </w:r>
          </w:p>
        </w:tc>
      </w:tr>
    </w:tbl>
    <w:p w:rsidR="000D614D" w:rsidRPr="000D614D" w:rsidRDefault="000D614D" w:rsidP="000D614D">
      <w:pPr>
        <w:spacing w:after="0" w:line="240" w:lineRule="auto"/>
        <w:rPr>
          <w:rFonts w:ascii="Times New Roman" w:eastAsia="Times New Roman" w:hAnsi="Times New Roman" w:cs="Times New Roman"/>
          <w:sz w:val="26"/>
          <w:szCs w:val="26"/>
        </w:rPr>
      </w:pPr>
      <w:r w:rsidRPr="000D614D">
        <w:rPr>
          <w:rFonts w:ascii="Times New Roman" w:eastAsia="Times New Roman" w:hAnsi="Times New Roman" w:cs="Times New Roman"/>
          <w:sz w:val="26"/>
          <w:szCs w:val="26"/>
          <w:shd w:val="clear" w:color="auto" w:fill="F0F0F0"/>
        </w:rPr>
        <w:lastRenderedPageBreak/>
        <w:t> </w:t>
      </w:r>
    </w:p>
    <w:p w:rsidR="000D614D" w:rsidRPr="000D614D" w:rsidRDefault="000D614D" w:rsidP="000D614D">
      <w:pPr>
        <w:spacing w:after="0" w:line="240" w:lineRule="auto"/>
        <w:rPr>
          <w:rFonts w:ascii="Times New Roman" w:eastAsia="Times New Roman" w:hAnsi="Times New Roman" w:cs="Times New Roman"/>
          <w:sz w:val="26"/>
          <w:szCs w:val="26"/>
        </w:rPr>
      </w:pPr>
      <w:proofErr w:type="gramStart"/>
      <w:r w:rsidRPr="000D614D">
        <w:rPr>
          <w:rFonts w:ascii="Times New Roman" w:eastAsia="Times New Roman" w:hAnsi="Times New Roman" w:cs="Times New Roman"/>
          <w:b/>
          <w:bCs/>
          <w:sz w:val="26"/>
          <w:szCs w:val="26"/>
        </w:rPr>
        <w:t>Đây chính là điều mà người nộp đóng bảo hiểm cần hiểu rõ.</w:t>
      </w:r>
      <w:proofErr w:type="gramEnd"/>
      <w:r w:rsidRPr="000D614D">
        <w:rPr>
          <w:rFonts w:ascii="Times New Roman" w:eastAsia="Times New Roman" w:hAnsi="Times New Roman" w:cs="Times New Roman"/>
          <w:b/>
          <w:bCs/>
          <w:sz w:val="26"/>
          <w:szCs w:val="26"/>
        </w:rPr>
        <w:br/>
      </w:r>
      <w:r w:rsidRPr="000D614D">
        <w:rPr>
          <w:rFonts w:ascii="Times New Roman" w:eastAsia="Times New Roman" w:hAnsi="Times New Roman" w:cs="Times New Roman"/>
          <w:sz w:val="26"/>
          <w:szCs w:val="26"/>
        </w:rPr>
        <w:br/>
        <w:t>Chú thích:</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Xin nhắc lại, những lãnh đạo và cán bộ làm việc cho quỹ BHXH hưởng lương từ ngân sách chứ không từ quỹ BHXH, mà nguồn ngân sách được tạo bởi thuế Thu nhập cá nhân và các loại thuế khác thu từ người lao động. </w:t>
      </w:r>
      <w:r w:rsidRPr="000D614D">
        <w:rPr>
          <w:rFonts w:ascii="Times New Roman" w:eastAsia="Times New Roman" w:hAnsi="Times New Roman" w:cs="Times New Roman"/>
          <w:sz w:val="26"/>
          <w:szCs w:val="26"/>
        </w:rPr>
        <w:br/>
      </w:r>
      <w:r w:rsidRPr="000D614D">
        <w:rPr>
          <w:rFonts w:ascii="Times New Roman" w:eastAsia="Times New Roman" w:hAnsi="Times New Roman" w:cs="Times New Roman"/>
          <w:sz w:val="26"/>
          <w:szCs w:val="26"/>
        </w:rPr>
        <w:br/>
        <w:t>Nếu dùng số tiền đóng BHXH mua trái phiếu chính phủ với mức lãi suất 5%</w:t>
      </w:r>
      <w:r w:rsidRPr="000D614D">
        <w:rPr>
          <w:rFonts w:ascii="Times New Roman" w:eastAsia="Times New Roman" w:hAnsi="Times New Roman" w:cs="Times New Roman"/>
          <w:sz w:val="26"/>
          <w:szCs w:val="26"/>
        </w:rPr>
        <w:br/>
        <w:t>sau 5 năm sẽ thu được số tiền 14.92 tháng lương, tính theo phương pháp Giá trị tương lai của dòng tiền FV, cụ thể như sau</w:t>
      </w:r>
      <w:bookmarkStart w:id="0" w:name="_GoBack"/>
      <w:bookmarkEnd w:id="0"/>
    </w:p>
    <w:sectPr w:rsidR="000D614D" w:rsidRPr="000D614D" w:rsidSect="00B84BC6">
      <w:pgSz w:w="12240" w:h="15840"/>
      <w:pgMar w:top="1135"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BC6"/>
    <w:rsid w:val="000D614D"/>
    <w:rsid w:val="00326727"/>
    <w:rsid w:val="006B3935"/>
    <w:rsid w:val="006B73A0"/>
    <w:rsid w:val="00B80F91"/>
    <w:rsid w:val="00B84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BC6"/>
    <w:rPr>
      <w:b/>
      <w:bCs/>
    </w:rPr>
  </w:style>
  <w:style w:type="paragraph" w:styleId="NormalWeb">
    <w:name w:val="Normal (Web)"/>
    <w:basedOn w:val="Normal"/>
    <w:uiPriority w:val="99"/>
    <w:semiHidden/>
    <w:unhideWhenUsed/>
    <w:rsid w:val="00B84BC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84B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84B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BC6"/>
    <w:rPr>
      <w:b/>
      <w:bCs/>
    </w:rPr>
  </w:style>
  <w:style w:type="paragraph" w:styleId="NormalWeb">
    <w:name w:val="Normal (Web)"/>
    <w:basedOn w:val="Normal"/>
    <w:uiPriority w:val="99"/>
    <w:semiHidden/>
    <w:unhideWhenUsed/>
    <w:rsid w:val="00B84BC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84B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B84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379757">
      <w:bodyDiv w:val="1"/>
      <w:marLeft w:val="0"/>
      <w:marRight w:val="0"/>
      <w:marTop w:val="0"/>
      <w:marBottom w:val="0"/>
      <w:divBdr>
        <w:top w:val="none" w:sz="0" w:space="0" w:color="auto"/>
        <w:left w:val="none" w:sz="0" w:space="0" w:color="auto"/>
        <w:bottom w:val="none" w:sz="0" w:space="0" w:color="auto"/>
        <w:right w:val="none" w:sz="0" w:space="0" w:color="auto"/>
      </w:divBdr>
    </w:div>
    <w:div w:id="1596477541">
      <w:bodyDiv w:val="1"/>
      <w:marLeft w:val="0"/>
      <w:marRight w:val="0"/>
      <w:marTop w:val="0"/>
      <w:marBottom w:val="0"/>
      <w:divBdr>
        <w:top w:val="none" w:sz="0" w:space="0" w:color="auto"/>
        <w:left w:val="none" w:sz="0" w:space="0" w:color="auto"/>
        <w:bottom w:val="none" w:sz="0" w:space="0" w:color="auto"/>
        <w:right w:val="none" w:sz="0" w:space="0" w:color="auto"/>
      </w:divBdr>
    </w:div>
    <w:div w:id="1678775376">
      <w:bodyDiv w:val="1"/>
      <w:marLeft w:val="0"/>
      <w:marRight w:val="0"/>
      <w:marTop w:val="0"/>
      <w:marBottom w:val="0"/>
      <w:divBdr>
        <w:top w:val="none" w:sz="0" w:space="0" w:color="auto"/>
        <w:left w:val="none" w:sz="0" w:space="0" w:color="auto"/>
        <w:bottom w:val="none" w:sz="0" w:space="0" w:color="auto"/>
        <w:right w:val="none" w:sz="0" w:space="0" w:color="auto"/>
      </w:divBdr>
    </w:div>
    <w:div w:id="193929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621</Words>
  <Characters>3544</Characters>
  <Application>Microsoft Office Word</Application>
  <DocSecurity>0</DocSecurity>
  <Lines>29</Lines>
  <Paragraphs>8</Paragraphs>
  <ScaleCrop>false</ScaleCrop>
  <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2015-06-01T00:57:00Z</dcterms:created>
  <dcterms:modified xsi:type="dcterms:W3CDTF">2015-06-01T01:33:00Z</dcterms:modified>
</cp:coreProperties>
</file>